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b/>
          <w:bCs/>
          <w:i w:val="0"/>
          <w:iCs w:val="0"/>
          <w:caps w:val="0"/>
          <w:color w:val="000000"/>
          <w:spacing w:val="0"/>
          <w:sz w:val="32"/>
          <w:szCs w:val="32"/>
        </w:rPr>
      </w:pPr>
      <w:bookmarkStart w:id="0" w:name="_GoBack"/>
      <w:r>
        <w:rPr>
          <w:rFonts w:hint="eastAsia" w:ascii="宋体" w:hAnsi="宋体" w:eastAsia="宋体" w:cs="宋体"/>
          <w:b/>
          <w:bCs/>
          <w:i w:val="0"/>
          <w:iCs w:val="0"/>
          <w:caps w:val="0"/>
          <w:color w:val="000000"/>
          <w:spacing w:val="0"/>
          <w:sz w:val="32"/>
          <w:szCs w:val="32"/>
          <w:bdr w:val="none" w:color="auto" w:sz="0" w:space="0"/>
        </w:rPr>
        <w:t>最高人民法院关于适用《中华人民共和国企业破产法》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bdr w:val="none" w:color="auto" w:sz="0" w:space="0"/>
        </w:rPr>
        <w:t>若干问题的规定（三）</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420" w:firstLine="420"/>
        <w:jc w:val="both"/>
        <w:rPr>
          <w:rFonts w:hint="eastAsia" w:ascii="宋体" w:hAnsi="宋体" w:eastAsia="宋体" w:cs="宋体"/>
          <w:i w:val="0"/>
          <w:iCs w:val="0"/>
          <w:caps w:val="0"/>
          <w:color w:val="000000"/>
          <w:spacing w:val="0"/>
          <w:sz w:val="32"/>
          <w:szCs w:val="32"/>
        </w:rPr>
      </w:pPr>
      <w:r>
        <w:rPr>
          <w:rFonts w:ascii="楷体" w:hAnsi="宋体" w:eastAsia="楷体" w:cs="楷体"/>
          <w:i w:val="0"/>
          <w:iCs w:val="0"/>
          <w:caps w:val="0"/>
          <w:color w:val="000000"/>
          <w:spacing w:val="0"/>
          <w:sz w:val="32"/>
          <w:szCs w:val="32"/>
          <w:bdr w:val="none" w:color="auto" w:sz="0" w:space="0"/>
        </w:rPr>
        <w:t>（2019年2月25日最高人民法院审判委员会第1762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为正确适用《中华人民共和国企业破产法》，结合审判实践，就人民法院审理企业破产案件中有关债权人权利行使等相关法律适用问题，制定本规定。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rPr>
        <w:t>第一条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人民法院裁定受理破产申请的，此前债务人尚未支付的公司强制清算费用、未终结的执行程序中产生的评估费、公告费、保管费等执行费用，可以参照企业破产法关于破产费用的规定，由债务人财产随时清偿。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此前债务人尚未支付的案件受理费、执行申请费，可以作为破产债权清偿。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产享有担保的债权清偿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管理人或者自行管理的债务人可以为前述借款设定抵押担保，抵押物在破产申请受理前已为其他债权人设定抵押的，债权人主张按照民法典第四百一十四条规定的顺序清偿，人民法院应予支持。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破产申请受理后，债务人欠缴款项产生的滞纳金，包括债务人未履行生效法律文书应当加倍支付的迟延利息和劳动保险金的滞纳金，债权人作为破产债权申报的，人民法院不予确认。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保证人被裁定进入破产程序的，债权人有权申报其对保证人的保证债权。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保证人被确定应当承担保证责任的，保证人的管理人可以就保证人实际承担的清偿额向主债务人或其他债务人行使求偿权。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债务人、保证人均被裁定进入破产程序的，债权人有权向债务人、保证人分别申报债权。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债权人向债务人、保证人均申报全部债权的，从一方破产程序中获得清偿后，其对另一方的债权额不作调整，但债权人的受偿额不得超出其债权总额。保证人履行保证责任后不再享有求偿权。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管理人应当依照企业破产法第五十七条的规定对所申报的债权进行登记造册，详尽记载申报人的姓名、单位、代理人、申报债权额、担保情况、证据、联系方式等事项，形成债权申报登记册。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管理人应当依照企业破产法第五十七条的规定对债权的性质、数额、担保财产、是否超过诉讼时效期间、是否超过强制执行期间等情况进行审查、编制债权表并提交债权人会议核查。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债权表、债权申报登记册及债权申报材料在破产期间由管理人保管，债权人、债务人、债务人职工及其他利害关系人有权查阅。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已经生效法律文书确定的债权，管理人应当予以确认。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认为债权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对同一笔债权存在多个异议人，其他异议人申请参加诉讼的，应当列为共同原告。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上述信息资料涉及商业秘密的，债权人应当依法承担保密义务或者签署保密协议；涉及国家秘密的应当依照相关法律规定处理。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债权人会议的决议具有以下情形之一，损害债权人利益，债权人申请撤销的，人民法院应予支持：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（一）债权人会议的召开违反法定程序；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（二）债权人会议的表决违反法定程序；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（三）债权人会议的决议内容违法；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（四）债权人会议的决议超出债权人会议的职权范围。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人民法院可以裁定撤销全部或者部分事项决议，责令债权人会议依法重新作出决议。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债权人申请撤销债权人会议决议的，应当提出书面申请。债权人会议采取通信、网络投票等非现场方式进行表决的，债权人申请撤销的期限自债权人收到通知之日起算。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债权人委员会决定所议事项应获得全体成员过半数通过，并作成议事记录。债权人委员会成员对所议事项的决议有不同意见的，应当在记录中载明。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债权人委员会行使职权应当接受债权人会议的监督，以适当的方式向债权人会议及时汇报工作，并接受人民法院的指导。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管理人处分企业破产法第六十九条规定的债务人重大财产的，应当事先制作财产管理或者变价方案并提交债权人会议进行表决，债权人会议表决未通过的，管理人不得处分。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债权人委员会认为管理人实施的处分行为不符合债权人会议通过的财产管理或变价方案的，有权要求管理人纠正。管理人拒绝纠正的，债权人委员会可以请求人民法院作出决定。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人民法院认为管理人实施的处分行为不符合债权人会议通过的财产管理或变价方案的，应当责令管理人停止处分行为。管理人应当予以纠正，或者提交债权人会议重新表决通过后实施。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 w:hAnsi="宋体" w:eastAsia="仿宋" w:cs="仿宋"/>
          <w:i w:val="0"/>
          <w:iCs w:val="0"/>
          <w:caps w:val="0"/>
          <w:color w:val="000000"/>
          <w:spacing w:val="0"/>
          <w:sz w:val="32"/>
          <w:szCs w:val="32"/>
          <w:bdr w:val="none" w:color="auto" w:sz="0" w:space="0"/>
        </w:rPr>
        <w:t>本规定自2019年3月28日起实施。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 w:hAnsi="宋体" w:eastAsia="仿宋" w:cs="仿宋"/>
          <w:i w:val="0"/>
          <w:iCs w:val="0"/>
          <w:caps w:val="0"/>
          <w:color w:val="000000"/>
          <w:spacing w:val="0"/>
          <w:sz w:val="32"/>
          <w:szCs w:val="32"/>
          <w:bdr w:val="none" w:color="auto" w:sz="0" w:space="0"/>
        </w:rPr>
        <w:t>实施前本院发布的有关企业破产的司法解释，与本规定相抵触的，自本规定实施之日起不再适用。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E2AE0"/>
    <w:rsid w:val="441E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2021-07-16T01:48:00Z</dcterms:created>
  <dc:creator>Hu</dc:creator>
  <cp:lastModifiedBy>Hu</cp:lastModifiedBy>
  <dcterms:modified xsi:type="dcterms:W3CDTF">2021-07-16T01:50:14Z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EEB6E4D2102D46849FCEA73355B158EA</vt:lpwstr>
  </property>
</Properties>
</file>